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0527" w14:textId="5B0407BF" w:rsidR="009372D5" w:rsidRPr="008F4F8F" w:rsidRDefault="008F4F8F" w:rsidP="008F4F8F">
      <w:pPr>
        <w:rPr>
          <w:b/>
          <w:bCs/>
          <w:sz w:val="28"/>
          <w:szCs w:val="28"/>
        </w:rPr>
      </w:pPr>
      <w:r w:rsidRPr="008F4F8F">
        <w:rPr>
          <w:b/>
          <w:bCs/>
          <w:sz w:val="28"/>
          <w:szCs w:val="28"/>
        </w:rPr>
        <w:t>Lecture Notes-</w:t>
      </w:r>
      <w:r w:rsidR="00B36175">
        <w:rPr>
          <w:b/>
          <w:bCs/>
          <w:sz w:val="28"/>
          <w:szCs w:val="28"/>
        </w:rPr>
        <w:t>10</w:t>
      </w:r>
      <w:r w:rsidR="00B36175" w:rsidRPr="008F4F8F">
        <w:rPr>
          <w:b/>
          <w:bCs/>
          <w:sz w:val="28"/>
          <w:szCs w:val="28"/>
        </w:rPr>
        <w:t>:</w:t>
      </w:r>
      <w:r w:rsidRPr="008F4F8F">
        <w:rPr>
          <w:b/>
          <w:bCs/>
          <w:sz w:val="28"/>
          <w:szCs w:val="28"/>
        </w:rPr>
        <w:t xml:space="preserve"> Income from Salaries-</w:t>
      </w:r>
      <w:r w:rsidR="00EC06C9">
        <w:rPr>
          <w:b/>
          <w:bCs/>
          <w:sz w:val="28"/>
          <w:szCs w:val="28"/>
        </w:rPr>
        <w:t>V</w:t>
      </w:r>
    </w:p>
    <w:p w14:paraId="55D10614" w14:textId="4FE1CDF9" w:rsidR="00EC06C9" w:rsidRPr="00D061CE" w:rsidRDefault="008F4F8F" w:rsidP="005F141A">
      <w:pPr>
        <w:rPr>
          <w:rFonts w:ascii="Arial" w:eastAsia="Times New Roman" w:hAnsi="Arial" w:cs="Arial"/>
          <w:lang w:eastAsia="en-IN"/>
        </w:rPr>
      </w:pPr>
      <w:r w:rsidRPr="008F4F8F">
        <w:rPr>
          <w:b/>
          <w:bCs/>
          <w:sz w:val="28"/>
          <w:szCs w:val="28"/>
        </w:rPr>
        <w:t xml:space="preserve">  </w:t>
      </w:r>
    </w:p>
    <w:p w14:paraId="3347433B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Rules of valuation of perquisites </w:t>
      </w:r>
    </w:p>
    <w:p w14:paraId="4FEAEC79" w14:textId="40E8EF35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>The valuation of the perquisites provided to the employee by the employer shall be valued as below:</w:t>
      </w:r>
    </w:p>
    <w:p w14:paraId="027EC716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(1) Valuation of residential accommodation: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For the valuation of this perquisite, employees are categorized into the following two groups:</w:t>
      </w:r>
    </w:p>
    <w:p w14:paraId="54A84466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(a) Government Employees: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Employees of central/state government or government employee on deputation in those undertakings which are under the control of such government.</w:t>
      </w:r>
    </w:p>
    <w:p w14:paraId="5654D9BE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>Note: Employees of local authority or statutory corporation or employees of Government on deputation with any Body or Undertaking under the control of such Government are considered as non-government employees for the valuation of residential accommodation. </w:t>
      </w:r>
    </w:p>
    <w:p w14:paraId="103232F5" w14:textId="7AB7BA6A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(i) Valuation of unfurnished houses: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Amount to be determined as per the government rules. Generally, the license fee of the accommodation shall be the value of an unfurnished house; if no information regarding value of this perquisite is given then 10% of the salary of the employee shall be value of the accommodation.</w:t>
      </w:r>
    </w:p>
    <w:p w14:paraId="70D987D0" w14:textId="682E9074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(ii) Value of furnished house: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Amount calculated under (i) +10% p.a. of cost of furniture if it is owned by the employer or hire charges if they are not owned by the employer.</w:t>
      </w:r>
    </w:p>
    <w:p w14:paraId="643C3A36" w14:textId="77777777" w:rsidR="005F141A" w:rsidRPr="00AD5C9C" w:rsidRDefault="005F141A" w:rsidP="005F141A">
      <w:pPr>
        <w:rPr>
          <w:rFonts w:ascii="Times New Roman" w:eastAsia="Times New Roman" w:hAnsi="Times New Roman" w:cs="Times New Roman"/>
          <w:lang w:eastAsia="en-IN"/>
        </w:rPr>
      </w:pPr>
    </w:p>
    <w:p w14:paraId="759208FF" w14:textId="694AEF62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 xml:space="preserve">If accommodation is provided at concession, whether furnished or unfurnished, the amount charged </w:t>
      </w:r>
      <w:r w:rsidR="00B36175" w:rsidRPr="00AD5C9C">
        <w:rPr>
          <w:rFonts w:ascii="Times New Roman" w:eastAsia="Times New Roman" w:hAnsi="Times New Roman" w:cs="Times New Roman"/>
          <w:lang w:eastAsia="en-IN"/>
        </w:rPr>
        <w:t>by an employee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by the employer will be deducted from the above valuation under (i) or(ii).</w:t>
      </w:r>
    </w:p>
    <w:p w14:paraId="7E70279A" w14:textId="77777777" w:rsidR="005F141A" w:rsidRPr="00AD5C9C" w:rsidRDefault="005F141A" w:rsidP="005F141A">
      <w:pPr>
        <w:rPr>
          <w:rFonts w:ascii="Times New Roman" w:eastAsia="Times New Roman" w:hAnsi="Times New Roman" w:cs="Times New Roman"/>
          <w:lang w:eastAsia="en-IN"/>
        </w:rPr>
      </w:pPr>
    </w:p>
    <w:p w14:paraId="2FAC40A6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>(b) Other employees: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This kind of employees include employees of R.B.I., nationalized banks, educational institutions, universities, statutory corporations, companies of private sectors and other firms, etc.</w:t>
      </w:r>
    </w:p>
    <w:p w14:paraId="106006E1" w14:textId="56500456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 xml:space="preserve">Value of the house </w:t>
      </w:r>
    </w:p>
    <w:p w14:paraId="4EF4ABCC" w14:textId="77777777" w:rsidR="005F141A" w:rsidRPr="00AD5C9C" w:rsidRDefault="005F141A" w:rsidP="005F141A">
      <w:pPr>
        <w:rPr>
          <w:rFonts w:ascii="Times New Roman" w:eastAsia="Times New Roman" w:hAnsi="Times New Roman" w:cs="Times New Roman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1862"/>
        <w:gridCol w:w="2831"/>
      </w:tblGrid>
      <w:tr w:rsidR="005F141A" w:rsidRPr="00AD5C9C" w14:paraId="55DB291C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8495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Situation of the house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08F2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If house is owned by the employer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3F7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If house is not owned by the employer</w:t>
            </w:r>
          </w:p>
        </w:tc>
      </w:tr>
      <w:tr w:rsidR="005F141A" w:rsidRPr="00AD5C9C" w14:paraId="50351B78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E281" w14:textId="148F4F73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House is situated in the city having population (as per Census 2011) does not exceed 15 </w:t>
            </w:r>
            <w:r w:rsidR="00F530FD" w:rsidRPr="00AD5C9C">
              <w:rPr>
                <w:rFonts w:ascii="Times New Roman" w:eastAsia="Times New Roman" w:hAnsi="Times New Roman" w:cs="Times New Roman"/>
                <w:lang w:eastAsia="en-IN"/>
              </w:rPr>
              <w:t>lakhs</w:t>
            </w: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 as per the census of 2011.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70DD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5% of the salary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ADD2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Actual rent paid by the employer or 10% of the salary whichever is less.</w:t>
            </w:r>
          </w:p>
        </w:tc>
      </w:tr>
      <w:tr w:rsidR="005F141A" w:rsidRPr="00AD5C9C" w14:paraId="55802082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7F1C" w14:textId="38AB258F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House is situated in the </w:t>
            </w:r>
            <w:r w:rsidR="00F530FD" w:rsidRPr="00AD5C9C">
              <w:rPr>
                <w:rFonts w:ascii="Times New Roman" w:eastAsia="Times New Roman" w:hAnsi="Times New Roman" w:cs="Times New Roman"/>
                <w:lang w:eastAsia="en-IN"/>
              </w:rPr>
              <w:t>city with a population of</w:t>
            </w: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 more than </w:t>
            </w:r>
            <w:r w:rsidR="00F530FD" w:rsidRPr="00AD5C9C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5 lakh but does not exceed 40 lakh (census 2011)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2E2F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7.5% of the salary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B92F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10% of the salary or Actual rent paid by the employer whichever is less</w:t>
            </w:r>
          </w:p>
        </w:tc>
      </w:tr>
      <w:tr w:rsidR="005F141A" w:rsidRPr="00AD5C9C" w14:paraId="61E0A535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EC4D" w14:textId="1ED7299F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House is situated in the </w:t>
            </w:r>
            <w:r w:rsidR="00F530FD" w:rsidRPr="00AD5C9C">
              <w:rPr>
                <w:rFonts w:ascii="Times New Roman" w:eastAsia="Times New Roman" w:hAnsi="Times New Roman" w:cs="Times New Roman"/>
                <w:lang w:eastAsia="en-IN"/>
              </w:rPr>
              <w:t>city with a population of</w:t>
            </w: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 more than 40 lakh as per census 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0DFA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10% of the salary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1F04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10% of the salary or Actual rent paid by the employer whichever is less</w:t>
            </w:r>
          </w:p>
        </w:tc>
      </w:tr>
    </w:tbl>
    <w:p w14:paraId="022ECA69" w14:textId="77777777" w:rsidR="005F141A" w:rsidRPr="00AD5C9C" w:rsidRDefault="005F141A" w:rsidP="005F141A">
      <w:pPr>
        <w:spacing w:after="240"/>
        <w:rPr>
          <w:rFonts w:ascii="Times New Roman" w:eastAsia="Times New Roman" w:hAnsi="Times New Roman" w:cs="Times New Roman"/>
          <w:lang w:eastAsia="en-IN"/>
        </w:rPr>
      </w:pPr>
    </w:p>
    <w:p w14:paraId="5817BDB0" w14:textId="5D413F03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lastRenderedPageBreak/>
        <w:t>Meaning of the salary-</w:t>
      </w:r>
      <w:r w:rsidRPr="00AD5C9C">
        <w:rPr>
          <w:rFonts w:ascii="Times New Roman" w:eastAsia="Times New Roman" w:hAnsi="Times New Roman" w:cs="Times New Roman"/>
          <w:color w:val="FF0000"/>
          <w:lang w:eastAsia="en-IN"/>
        </w:rPr>
        <w:t xml:space="preserve"> 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Basic pay (except advance and arrears of </w:t>
      </w:r>
      <w:r w:rsidR="00872E2A" w:rsidRPr="00AD5C9C">
        <w:rPr>
          <w:rFonts w:ascii="Times New Roman" w:eastAsia="Times New Roman" w:hAnsi="Times New Roman" w:cs="Times New Roman"/>
          <w:lang w:eastAsia="en-IN"/>
        </w:rPr>
        <w:t>salary) +</w:t>
      </w:r>
      <w:r w:rsidRPr="00AD5C9C">
        <w:rPr>
          <w:rFonts w:ascii="Times New Roman" w:eastAsia="Times New Roman" w:hAnsi="Times New Roman" w:cs="Times New Roman"/>
          <w:lang w:eastAsia="en-IN"/>
        </w:rPr>
        <w:t xml:space="preserve"> dearness pay+ bonus + fees + commission + dearness allowance ( if it is under the terms of employment) + all taxable allowances + payments of income tax &amp; life insurance premium by employer.</w:t>
      </w:r>
    </w:p>
    <w:p w14:paraId="21D4F4D7" w14:textId="77777777" w:rsidR="005F141A" w:rsidRPr="00AD5C9C" w:rsidRDefault="005F141A" w:rsidP="005F141A">
      <w:pPr>
        <w:rPr>
          <w:rFonts w:ascii="Times New Roman" w:eastAsia="Times New Roman" w:hAnsi="Times New Roman" w:cs="Times New Roman"/>
          <w:lang w:eastAsia="en-IN"/>
        </w:rPr>
      </w:pPr>
    </w:p>
    <w:p w14:paraId="01C195CE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>If house is provided at concession: Value of such house will be calculated as per the above rules minus the amount paid by the employee.</w:t>
      </w:r>
    </w:p>
    <w:p w14:paraId="7A9CAE10" w14:textId="407109EF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 xml:space="preserve">(2) Facility of accommodation in </w:t>
      </w:r>
      <w:r w:rsidR="00872E2A" w:rsidRPr="00AD5C9C">
        <w:rPr>
          <w:rFonts w:ascii="Times New Roman" w:eastAsia="Times New Roman" w:hAnsi="Times New Roman" w:cs="Times New Roman"/>
          <w:b/>
          <w:bCs/>
          <w:lang w:eastAsia="en-IN"/>
        </w:rPr>
        <w:t>a hotel</w:t>
      </w:r>
      <w:r w:rsidRPr="00AD5C9C">
        <w:rPr>
          <w:rFonts w:ascii="Times New Roman" w:eastAsia="Times New Roman" w:hAnsi="Times New Roman" w:cs="Times New Roman"/>
          <w:b/>
          <w:bCs/>
          <w:lang w:eastAsia="en-IN"/>
        </w:rPr>
        <w:t xml:space="preserve"> (both government and non-government):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3963"/>
      </w:tblGrid>
      <w:tr w:rsidR="005F141A" w:rsidRPr="00AD5C9C" w14:paraId="4EDAA623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9ECA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Hotel accommodation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896A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value</w:t>
            </w:r>
          </w:p>
        </w:tc>
      </w:tr>
      <w:tr w:rsidR="005F141A" w:rsidRPr="00AD5C9C" w14:paraId="0DC4F1AE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65A8" w14:textId="6333103F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 xml:space="preserve">(i) 15 days or less than 15 </w:t>
            </w:r>
            <w:r w:rsidR="00872E2A" w:rsidRPr="00AD5C9C">
              <w:rPr>
                <w:rFonts w:ascii="Times New Roman" w:eastAsia="Times New Roman" w:hAnsi="Times New Roman" w:cs="Times New Roman"/>
                <w:lang w:eastAsia="en-IN"/>
              </w:rPr>
              <w:t>days (</w:t>
            </w: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on transfer from one place to another)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A8CF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Nil </w:t>
            </w:r>
          </w:p>
        </w:tc>
      </w:tr>
      <w:tr w:rsidR="005F141A" w:rsidRPr="00AD5C9C" w14:paraId="29180B97" w14:textId="77777777" w:rsidTr="00C614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69F0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(ii) not provided in connection with transfer of employee or any other than above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1233" w14:textId="77777777" w:rsidR="005F141A" w:rsidRPr="00AD5C9C" w:rsidRDefault="005F141A" w:rsidP="00C614EC">
            <w:pPr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r w:rsidRPr="00AD5C9C">
              <w:rPr>
                <w:rFonts w:ascii="Times New Roman" w:eastAsia="Times New Roman" w:hAnsi="Times New Roman" w:cs="Times New Roman"/>
                <w:lang w:eastAsia="en-IN"/>
              </w:rPr>
              <w:t>24% of salary or actual rent paid by the employer, whichever is less.</w:t>
            </w:r>
          </w:p>
        </w:tc>
      </w:tr>
    </w:tbl>
    <w:p w14:paraId="1A816A43" w14:textId="77777777" w:rsidR="005F141A" w:rsidRPr="00AD5C9C" w:rsidRDefault="005F141A" w:rsidP="005F141A">
      <w:pPr>
        <w:jc w:val="both"/>
        <w:rPr>
          <w:rFonts w:ascii="Times New Roman" w:eastAsia="Times New Roman" w:hAnsi="Times New Roman" w:cs="Times New Roman"/>
          <w:sz w:val="22"/>
          <w:szCs w:val="22"/>
          <w:lang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>Meaning of salary has the same components given in the valuation of residential accommodation</w:t>
      </w:r>
      <w:r w:rsidRPr="00AD5C9C">
        <w:rPr>
          <w:rFonts w:ascii="Times New Roman" w:eastAsia="Times New Roman" w:hAnsi="Times New Roman" w:cs="Times New Roman"/>
          <w:sz w:val="22"/>
          <w:szCs w:val="22"/>
          <w:lang w:eastAsia="en-IN"/>
        </w:rPr>
        <w:t>.</w:t>
      </w:r>
    </w:p>
    <w:p w14:paraId="0459D75F" w14:textId="77777777" w:rsidR="00AD5C9C" w:rsidRPr="00AD5C9C" w:rsidRDefault="00AD5C9C" w:rsidP="007602DF">
      <w:pPr>
        <w:widowControl/>
        <w:ind w:left="360"/>
        <w:contextualSpacing/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lang w:eastAsia="en-IN"/>
        </w:rPr>
      </w:pPr>
      <w:r w:rsidRPr="00AD5C9C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lang w:eastAsia="en-IN"/>
        </w:rPr>
        <w:t>New rules from Assessment year 2025-26:</w:t>
      </w:r>
    </w:p>
    <w:p w14:paraId="72D65396" w14:textId="386F3153" w:rsidR="007602DF" w:rsidRPr="007602DF" w:rsidRDefault="00AD5C9C" w:rsidP="007602DF">
      <w:pPr>
        <w:widowControl/>
        <w:ind w:left="360"/>
        <w:contextualSpacing/>
        <w:rPr>
          <w:rFonts w:ascii="Times New Roman" w:eastAsia="Times New Roman" w:hAnsi="Times New Roman" w:cs="Times New Roman"/>
          <w:color w:val="E84C22"/>
          <w:lang w:val="en-IN" w:eastAsia="en-IN"/>
        </w:rPr>
      </w:pP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If the same</w:t>
      </w:r>
      <w:r w:rsidR="007602DF"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 xml:space="preserve"> accommodation is provided for more than one year—(</w:t>
      </w: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 xml:space="preserve">with effect from Financial Year </w:t>
      </w:r>
      <w:r w:rsidR="007602DF"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2024-25)-</w:t>
      </w:r>
    </w:p>
    <w:p w14:paraId="2351A691" w14:textId="77777777" w:rsidR="007602DF" w:rsidRPr="007602DF" w:rsidRDefault="007602DF" w:rsidP="007602DF">
      <w:pPr>
        <w:widowControl/>
        <w:spacing w:before="200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 xml:space="preserve">Value of RFH—applying existing rules </w:t>
      </w:r>
      <w:r w:rsidRPr="007602DF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lang w:eastAsia="en-IN"/>
        </w:rPr>
        <w:t>or</w:t>
      </w:r>
    </w:p>
    <w:p w14:paraId="0E6FD2EF" w14:textId="59765151" w:rsidR="007602DF" w:rsidRPr="007602DF" w:rsidRDefault="007602DF" w:rsidP="007602DF">
      <w:pPr>
        <w:widowControl/>
        <w:spacing w:before="200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 xml:space="preserve">Perquisite value for the first </w:t>
      </w:r>
      <w:r w:rsidR="00AD5C9C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year (</w:t>
      </w:r>
      <w:r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financial year 2024-</w:t>
      </w:r>
      <w:r w:rsidR="00AD5C9C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25) (</w:t>
      </w:r>
      <w:r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adjusted by the cost inflation index)—</w:t>
      </w:r>
      <w:r w:rsidR="00AD5C9C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>whichever</w:t>
      </w:r>
      <w:r w:rsidRPr="007602DF">
        <w:rPr>
          <w:rFonts w:ascii="Times New Roman" w:eastAsiaTheme="minorEastAsia" w:hAnsi="Times New Roman" w:cs="Times New Roman"/>
          <w:color w:val="404040" w:themeColor="text1" w:themeTint="BF"/>
          <w:kern w:val="24"/>
          <w:lang w:eastAsia="en-IN"/>
        </w:rPr>
        <w:t xml:space="preserve"> is less.</w:t>
      </w:r>
    </w:p>
    <w:p w14:paraId="22FFF985" w14:textId="77777777" w:rsidR="007602DF" w:rsidRPr="00AD5C9C" w:rsidRDefault="007602DF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</w:p>
    <w:p w14:paraId="1FED407C" w14:textId="16F28F34" w:rsidR="00D976A8" w:rsidRPr="00AD5C9C" w:rsidRDefault="00D976A8" w:rsidP="007602DF">
      <w:pPr>
        <w:widowControl/>
        <w:ind w:left="360"/>
        <w:rPr>
          <w:rFonts w:ascii="Times New Roman" w:eastAsia="Times New Roman" w:hAnsi="Times New Roman" w:cs="Times New Roman"/>
          <w:color w:val="E84C22"/>
          <w:lang w:val="en-IN" w:eastAsia="en-IN"/>
        </w:rPr>
      </w:pPr>
      <w:r w:rsidRPr="00AD5C9C">
        <w:rPr>
          <w:rFonts w:ascii="Times New Roman" w:eastAsia="Times New Roman" w:hAnsi="Times New Roman" w:cs="Times New Roman"/>
          <w:lang w:eastAsia="en-IN"/>
        </w:rPr>
        <w:t>(3)</w:t>
      </w: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</w:rPr>
        <w:t xml:space="preserve"> </w:t>
      </w: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Accommodation at the time of transfer—</w:t>
      </w:r>
    </w:p>
    <w:p w14:paraId="6BCF9170" w14:textId="36AF8BD3" w:rsidR="00D976A8" w:rsidRPr="00D976A8" w:rsidRDefault="00704F1F" w:rsidP="00D976A8">
      <w:pPr>
        <w:widowControl/>
        <w:spacing w:before="200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If accommodation is provided by the employer at the time of transfer from one place to another and both the places employee has occupied the houses-</w:t>
      </w:r>
    </w:p>
    <w:p w14:paraId="150B5EF7" w14:textId="38BB8B4E" w:rsidR="00D976A8" w:rsidRPr="00D976A8" w:rsidRDefault="00D976A8">
      <w:pPr>
        <w:widowControl/>
        <w:numPr>
          <w:ilvl w:val="0"/>
          <w:numId w:val="1"/>
        </w:numPr>
        <w:ind w:left="1354"/>
        <w:contextualSpacing/>
        <w:rPr>
          <w:rFonts w:ascii="Times New Roman" w:eastAsia="Times New Roman" w:hAnsi="Times New Roman" w:cs="Times New Roman"/>
          <w:color w:val="E84C22"/>
          <w:lang w:val="en-IN" w:eastAsia="en-IN"/>
        </w:rPr>
      </w:pPr>
      <w:r w:rsidRPr="00D976A8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Both the houses will be valued</w:t>
      </w:r>
      <w:r w:rsidR="00704F1F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 as per the provisions discussed above, if days of occupancy of these houses are not more than 90 days.</w:t>
      </w:r>
      <w:r w:rsidR="00973673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 Lower value house will be included in the salary income of the employee as perquisite.</w:t>
      </w:r>
    </w:p>
    <w:p w14:paraId="7046E525" w14:textId="52AF79F7" w:rsidR="00D976A8" w:rsidRPr="00AD5C9C" w:rsidRDefault="00D976A8">
      <w:pPr>
        <w:widowControl/>
        <w:numPr>
          <w:ilvl w:val="0"/>
          <w:numId w:val="1"/>
        </w:numPr>
        <w:ind w:left="1354"/>
        <w:contextualSpacing/>
        <w:rPr>
          <w:rFonts w:ascii="Times New Roman" w:eastAsia="Times New Roman" w:hAnsi="Times New Roman" w:cs="Times New Roman"/>
          <w:color w:val="E84C22"/>
          <w:lang w:val="en-IN" w:eastAsia="en-IN"/>
        </w:rPr>
      </w:pPr>
      <w:r w:rsidRPr="00D976A8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If </w:t>
      </w:r>
      <w:r w:rsidR="00704F1F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days of occupation at both the places are </w:t>
      </w:r>
      <w:r w:rsidRPr="00D976A8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more than 90 </w:t>
      </w:r>
      <w:r w:rsidR="00AD5C9C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days,</w:t>
      </w:r>
      <w:r w:rsidR="00704F1F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 then </w:t>
      </w:r>
      <w:r w:rsidRPr="00D976A8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both the houses will be valued </w:t>
      </w:r>
      <w:r w:rsidR="00704F1F"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 xml:space="preserve">as per the rules discussed above </w:t>
      </w:r>
      <w:r w:rsidRPr="00D976A8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and taxable.</w:t>
      </w:r>
    </w:p>
    <w:p w14:paraId="23766DB6" w14:textId="77777777" w:rsidR="00AD5C9C" w:rsidRPr="00AD5C9C" w:rsidRDefault="00AD5C9C" w:rsidP="00AD5C9C">
      <w:pPr>
        <w:widowControl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</w:pPr>
    </w:p>
    <w:p w14:paraId="041BBFFA" w14:textId="77777777" w:rsidR="00AD5C9C" w:rsidRPr="00AD5C9C" w:rsidRDefault="00AD5C9C" w:rsidP="00AD5C9C">
      <w:pPr>
        <w:widowControl/>
        <w:contextualSpacing/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</w:pPr>
    </w:p>
    <w:p w14:paraId="25426F51" w14:textId="04EAF7C5" w:rsidR="00AD5C9C" w:rsidRPr="00AD5C9C" w:rsidRDefault="00AD5C9C" w:rsidP="00AD5C9C">
      <w:pPr>
        <w:widowControl/>
        <w:contextualSpacing/>
        <w:jc w:val="center"/>
        <w:rPr>
          <w:rFonts w:ascii="Times New Roman" w:eastAsia="Times New Roman" w:hAnsi="Times New Roman" w:cs="Times New Roman"/>
          <w:color w:val="E84C22"/>
          <w:lang w:val="en-IN" w:eastAsia="en-IN"/>
        </w:rPr>
      </w:pPr>
      <w:r w:rsidRPr="00AD5C9C">
        <w:rPr>
          <w:rFonts w:ascii="Times New Roman" w:eastAsiaTheme="minorEastAsia" w:hAnsi="Times New Roman" w:cs="Times New Roman"/>
          <w:color w:val="404040" w:themeColor="text1" w:themeTint="BF"/>
          <w:kern w:val="24"/>
          <w:lang w:val="en-IN" w:eastAsia="en-IN"/>
        </w:rPr>
        <w:t>-------------------</w:t>
      </w:r>
    </w:p>
    <w:p w14:paraId="1BE6AC46" w14:textId="6E6290F1" w:rsidR="00D976A8" w:rsidRPr="00D976A8" w:rsidRDefault="00D976A8" w:rsidP="007602DF">
      <w:pPr>
        <w:widowControl/>
        <w:contextualSpacing/>
        <w:rPr>
          <w:rFonts w:ascii="Times New Roman" w:eastAsia="Times New Roman" w:hAnsi="Times New Roman" w:cs="Times New Roman"/>
          <w:color w:val="E84C22"/>
          <w:lang w:val="en-IN" w:eastAsia="en-IN"/>
        </w:rPr>
      </w:pPr>
    </w:p>
    <w:p w14:paraId="055470F9" w14:textId="6AD1BE37" w:rsidR="00D976A8" w:rsidRPr="00AD5C9C" w:rsidRDefault="00D976A8" w:rsidP="005F141A">
      <w:pPr>
        <w:jc w:val="both"/>
        <w:rPr>
          <w:rFonts w:ascii="Times New Roman" w:eastAsia="Times New Roman" w:hAnsi="Times New Roman" w:cs="Times New Roman"/>
          <w:lang w:eastAsia="en-IN"/>
        </w:rPr>
      </w:pPr>
    </w:p>
    <w:p w14:paraId="3E6CC508" w14:textId="77777777" w:rsidR="00EC06C9" w:rsidRPr="00AD5C9C" w:rsidRDefault="00EC06C9" w:rsidP="008F4F8F">
      <w:pPr>
        <w:rPr>
          <w:rFonts w:ascii="Times New Roman" w:hAnsi="Times New Roman" w:cs="Times New Roman"/>
          <w:b/>
          <w:bCs/>
        </w:rPr>
      </w:pPr>
    </w:p>
    <w:sectPr w:rsidR="00EC06C9" w:rsidRPr="00AD5C9C" w:rsidSect="00562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5" w:right="1519" w:bottom="1514" w:left="19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B91B" w14:textId="77777777" w:rsidR="00582F82" w:rsidRDefault="00582F82" w:rsidP="0056265A">
      <w:r>
        <w:separator/>
      </w:r>
    </w:p>
  </w:endnote>
  <w:endnote w:type="continuationSeparator" w:id="0">
    <w:p w14:paraId="48F5DE6E" w14:textId="77777777" w:rsidR="00582F82" w:rsidRDefault="00582F82" w:rsidP="0056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D8F4" w14:textId="6FA215FE" w:rsidR="00756BA7" w:rsidRDefault="0067321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1" behindDoc="1" locked="0" layoutInCell="1" allowOverlap="1" wp14:anchorId="6FF6D773" wp14:editId="05B0EDDE">
              <wp:simplePos x="0" y="0"/>
              <wp:positionH relativeFrom="page">
                <wp:posOffset>6373495</wp:posOffset>
              </wp:positionH>
              <wp:positionV relativeFrom="page">
                <wp:posOffset>9478010</wp:posOffset>
              </wp:positionV>
              <wp:extent cx="175895" cy="165735"/>
              <wp:effectExtent l="1270" t="635" r="381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BD615" w14:textId="4C740F23" w:rsidR="00756BA7" w:rsidRDefault="00B10FC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4128" w:rsidRPr="00534128">
                            <w:rPr>
                              <w:rStyle w:val="Headerorfooter1"/>
                              <w:noProof/>
                            </w:rPr>
                            <w:t>40</w:t>
                          </w:r>
                          <w:r>
                            <w:rPr>
                              <w:rStyle w:val="Headerorfooter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6D773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01.85pt;margin-top:746.3pt;width:13.85pt;height:13.05pt;z-index:-18874402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" filled="f" stroked="f">
              <v:textbox style="mso-fit-shape-to-text:t" inset="0,0,0,0">
                <w:txbxContent>
                  <w:p w14:paraId="2B7BD615" w14:textId="4C740F23" w:rsidR="00756BA7" w:rsidRDefault="00B10FC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4128" w:rsidRPr="00534128">
                      <w:rPr>
                        <w:rStyle w:val="Headerorfooter1"/>
                        <w:noProof/>
                      </w:rPr>
                      <w:t>40</w:t>
                    </w:r>
                    <w:r>
                      <w:rPr>
                        <w:rStyle w:val="Headerorfooter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32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89E2C" w14:textId="60DA93A8" w:rsidR="00D80E2F" w:rsidRDefault="00D80E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9257A" w14:textId="44DC16EF" w:rsidR="00756BA7" w:rsidRDefault="00756BA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2FE2" w14:textId="77777777" w:rsidR="003A4A84" w:rsidRDefault="003A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B11" w14:textId="77777777" w:rsidR="00582F82" w:rsidRDefault="00582F82"/>
  </w:footnote>
  <w:footnote w:type="continuationSeparator" w:id="0">
    <w:p w14:paraId="0C022DB7" w14:textId="77777777" w:rsidR="00582F82" w:rsidRDefault="00582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B56B" w14:textId="77777777" w:rsid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047C62A3" w14:textId="77777777" w:rsid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74E22D64" w14:textId="77777777" w:rsid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1C514997" w14:textId="14699C7E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  <w:r w:rsidRPr="003A4A84">
      <w:rPr>
        <w:rFonts w:ascii="Aptos" w:eastAsia="Aptos" w:hAnsi="Aptos" w:cs="Mangal"/>
        <w:noProof/>
        <w:color w:val="auto"/>
        <w:kern w:val="2"/>
        <w:sz w:val="22"/>
        <w:szCs w:val="22"/>
        <w:lang w:val="en-IN"/>
        <w14:ligatures w14:val="standardContextual"/>
      </w:rPr>
      <w:drawing>
        <wp:anchor distT="0" distB="0" distL="114300" distR="114300" simplePos="0" relativeHeight="314576547" behindDoc="0" locked="0" layoutInCell="1" allowOverlap="1" wp14:anchorId="0498EE05" wp14:editId="1AA6F03F">
          <wp:simplePos x="0" y="0"/>
          <wp:positionH relativeFrom="column">
            <wp:posOffset>4906645</wp:posOffset>
          </wp:positionH>
          <wp:positionV relativeFrom="paragraph">
            <wp:posOffset>-297180</wp:posOffset>
          </wp:positionV>
          <wp:extent cx="738505" cy="733425"/>
          <wp:effectExtent l="0" t="0" r="4445" b="9525"/>
          <wp:wrapSquare wrapText="bothSides"/>
          <wp:docPr id="8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A logo with text and symbo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PROF. PRAMOD KUMAR</w:t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ptab w:relativeTo="margin" w:alignment="center" w:leader="none"/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ACM302-L</w:t>
    </w:r>
    <w:r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10</w:t>
    </w:r>
  </w:p>
  <w:p w14:paraId="7580EEE8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6E5A3E4D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1E6ADC7A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ptab w:relativeTo="margin" w:alignment="right" w:leader="none"/>
    </w:r>
  </w:p>
  <w:p w14:paraId="4EFA2BA4" w14:textId="105F2963" w:rsidR="00756BA7" w:rsidRPr="003A4A84" w:rsidRDefault="00756BA7" w:rsidP="003A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2473" w14:textId="77777777" w:rsid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2E996FE9" w14:textId="77777777" w:rsid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546CEA63" w14:textId="27E0F1F4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  <w:r w:rsidRPr="003A4A84">
      <w:rPr>
        <w:rFonts w:ascii="Aptos" w:eastAsia="Aptos" w:hAnsi="Aptos" w:cs="Mangal"/>
        <w:noProof/>
        <w:color w:val="auto"/>
        <w:kern w:val="2"/>
        <w:sz w:val="22"/>
        <w:szCs w:val="22"/>
        <w:lang w:val="en-IN"/>
        <w14:ligatures w14:val="standardContextual"/>
      </w:rPr>
      <w:drawing>
        <wp:anchor distT="0" distB="0" distL="114300" distR="114300" simplePos="0" relativeHeight="314574499" behindDoc="0" locked="0" layoutInCell="1" allowOverlap="1" wp14:anchorId="12816A55" wp14:editId="382A44C1">
          <wp:simplePos x="0" y="0"/>
          <wp:positionH relativeFrom="column">
            <wp:posOffset>4906645</wp:posOffset>
          </wp:positionH>
          <wp:positionV relativeFrom="paragraph">
            <wp:posOffset>-297180</wp:posOffset>
          </wp:positionV>
          <wp:extent cx="738505" cy="733425"/>
          <wp:effectExtent l="0" t="0" r="4445" b="9525"/>
          <wp:wrapSquare wrapText="bothSides"/>
          <wp:docPr id="4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logo with text and symbo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PROF. PRAMOD KUMAR</w:t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ptab w:relativeTo="margin" w:alignment="center" w:leader="none"/>
    </w: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ACM302-L</w:t>
    </w:r>
    <w:r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t>10</w:t>
    </w:r>
  </w:p>
  <w:p w14:paraId="7168B58C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5909B70A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</w:p>
  <w:p w14:paraId="31D34EC3" w14:textId="77777777" w:rsidR="003A4A84" w:rsidRPr="003A4A84" w:rsidRDefault="003A4A84" w:rsidP="003A4A84">
    <w:pPr>
      <w:widowControl/>
      <w:tabs>
        <w:tab w:val="center" w:pos="4513"/>
        <w:tab w:val="right" w:pos="9026"/>
      </w:tabs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</w:pPr>
    <w:r w:rsidRPr="003A4A84">
      <w:rPr>
        <w:rFonts w:ascii="Aptos" w:eastAsia="Aptos" w:hAnsi="Aptos" w:cs="Mangal"/>
        <w:color w:val="auto"/>
        <w:kern w:val="2"/>
        <w:sz w:val="22"/>
        <w:szCs w:val="22"/>
        <w:lang w:val="en-IN"/>
        <w14:ligatures w14:val="standardContextual"/>
      </w:rPr>
      <w:ptab w:relativeTo="margin" w:alignment="right" w:leader="none"/>
    </w:r>
  </w:p>
  <w:p w14:paraId="4DAF8652" w14:textId="47DDBC93" w:rsidR="00756BA7" w:rsidRPr="003A4A84" w:rsidRDefault="00756BA7" w:rsidP="003A4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617A" w14:textId="77777777" w:rsidR="003A4A84" w:rsidRDefault="003A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14E05"/>
    <w:multiLevelType w:val="hybridMultilevel"/>
    <w:tmpl w:val="DD06C5FC"/>
    <w:lvl w:ilvl="0" w:tplc="EAF2EB5E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F72AA94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65864B82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1A86E3A0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11BA8B0A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BBEB300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BD9EC7DE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14B83326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96A0EF9A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num w:numId="1" w16cid:durableId="9238762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5A"/>
    <w:rsid w:val="000200B4"/>
    <w:rsid w:val="00026E64"/>
    <w:rsid w:val="00027F06"/>
    <w:rsid w:val="00031DA0"/>
    <w:rsid w:val="00037C31"/>
    <w:rsid w:val="00040B1A"/>
    <w:rsid w:val="00045D4D"/>
    <w:rsid w:val="00047336"/>
    <w:rsid w:val="000672AE"/>
    <w:rsid w:val="00073BEF"/>
    <w:rsid w:val="00075AA4"/>
    <w:rsid w:val="00084830"/>
    <w:rsid w:val="00087B95"/>
    <w:rsid w:val="000E28DB"/>
    <w:rsid w:val="000F50B4"/>
    <w:rsid w:val="00116B12"/>
    <w:rsid w:val="001410DD"/>
    <w:rsid w:val="00141127"/>
    <w:rsid w:val="00143EC0"/>
    <w:rsid w:val="00154F5C"/>
    <w:rsid w:val="00164B7D"/>
    <w:rsid w:val="001828A6"/>
    <w:rsid w:val="001972CA"/>
    <w:rsid w:val="001A2A11"/>
    <w:rsid w:val="001B3F15"/>
    <w:rsid w:val="001C5A20"/>
    <w:rsid w:val="001D0104"/>
    <w:rsid w:val="001D12AE"/>
    <w:rsid w:val="001F2D1F"/>
    <w:rsid w:val="001F4395"/>
    <w:rsid w:val="002008CF"/>
    <w:rsid w:val="002059DC"/>
    <w:rsid w:val="00210F93"/>
    <w:rsid w:val="002135FB"/>
    <w:rsid w:val="00214522"/>
    <w:rsid w:val="00226031"/>
    <w:rsid w:val="002302E7"/>
    <w:rsid w:val="0025077B"/>
    <w:rsid w:val="0025301D"/>
    <w:rsid w:val="00262084"/>
    <w:rsid w:val="0026293B"/>
    <w:rsid w:val="0027042E"/>
    <w:rsid w:val="00291209"/>
    <w:rsid w:val="00297A69"/>
    <w:rsid w:val="002A14F7"/>
    <w:rsid w:val="002A1EFF"/>
    <w:rsid w:val="002A67D2"/>
    <w:rsid w:val="002B6F3B"/>
    <w:rsid w:val="002C6215"/>
    <w:rsid w:val="002D2AFE"/>
    <w:rsid w:val="002D796D"/>
    <w:rsid w:val="002F11C1"/>
    <w:rsid w:val="002F1317"/>
    <w:rsid w:val="002F3AA8"/>
    <w:rsid w:val="00304825"/>
    <w:rsid w:val="0030598A"/>
    <w:rsid w:val="00341DF7"/>
    <w:rsid w:val="00342338"/>
    <w:rsid w:val="003467D0"/>
    <w:rsid w:val="00380237"/>
    <w:rsid w:val="0038382D"/>
    <w:rsid w:val="00396D58"/>
    <w:rsid w:val="003A4A84"/>
    <w:rsid w:val="003B7DF8"/>
    <w:rsid w:val="003D2608"/>
    <w:rsid w:val="003D30B1"/>
    <w:rsid w:val="003D4BCA"/>
    <w:rsid w:val="003E2099"/>
    <w:rsid w:val="003F2BF0"/>
    <w:rsid w:val="0041166A"/>
    <w:rsid w:val="004174C7"/>
    <w:rsid w:val="00426397"/>
    <w:rsid w:val="00494606"/>
    <w:rsid w:val="004A6C8B"/>
    <w:rsid w:val="004B3A64"/>
    <w:rsid w:val="004C3EB0"/>
    <w:rsid w:val="004E0D94"/>
    <w:rsid w:val="004E65E0"/>
    <w:rsid w:val="004F32C5"/>
    <w:rsid w:val="00504241"/>
    <w:rsid w:val="00505D33"/>
    <w:rsid w:val="005160B6"/>
    <w:rsid w:val="00525F8D"/>
    <w:rsid w:val="00534128"/>
    <w:rsid w:val="0054394C"/>
    <w:rsid w:val="0056265A"/>
    <w:rsid w:val="00582F82"/>
    <w:rsid w:val="005842FF"/>
    <w:rsid w:val="00586751"/>
    <w:rsid w:val="005A5F51"/>
    <w:rsid w:val="005B16AC"/>
    <w:rsid w:val="005D1B42"/>
    <w:rsid w:val="005E2D9A"/>
    <w:rsid w:val="005E5262"/>
    <w:rsid w:val="005F141A"/>
    <w:rsid w:val="006104CC"/>
    <w:rsid w:val="00637F1C"/>
    <w:rsid w:val="006658C7"/>
    <w:rsid w:val="00673212"/>
    <w:rsid w:val="00680ABB"/>
    <w:rsid w:val="00684964"/>
    <w:rsid w:val="006D0FD8"/>
    <w:rsid w:val="006E0475"/>
    <w:rsid w:val="006F5B60"/>
    <w:rsid w:val="00702F4F"/>
    <w:rsid w:val="00704F1F"/>
    <w:rsid w:val="007100EF"/>
    <w:rsid w:val="00723C53"/>
    <w:rsid w:val="007250D7"/>
    <w:rsid w:val="00734A67"/>
    <w:rsid w:val="00735263"/>
    <w:rsid w:val="00735F3A"/>
    <w:rsid w:val="00737E8D"/>
    <w:rsid w:val="00756BA7"/>
    <w:rsid w:val="007602DF"/>
    <w:rsid w:val="007A1123"/>
    <w:rsid w:val="007A69F3"/>
    <w:rsid w:val="007B32DA"/>
    <w:rsid w:val="007B57E7"/>
    <w:rsid w:val="007B779B"/>
    <w:rsid w:val="00811690"/>
    <w:rsid w:val="008269F3"/>
    <w:rsid w:val="008421EA"/>
    <w:rsid w:val="00856276"/>
    <w:rsid w:val="008635D1"/>
    <w:rsid w:val="00872E2A"/>
    <w:rsid w:val="00880635"/>
    <w:rsid w:val="00880C45"/>
    <w:rsid w:val="00881EC9"/>
    <w:rsid w:val="0089692E"/>
    <w:rsid w:val="008A4DC3"/>
    <w:rsid w:val="008B4606"/>
    <w:rsid w:val="008B6C48"/>
    <w:rsid w:val="008F4F8F"/>
    <w:rsid w:val="0090077A"/>
    <w:rsid w:val="009110D8"/>
    <w:rsid w:val="00917FF7"/>
    <w:rsid w:val="009261CB"/>
    <w:rsid w:val="0092667A"/>
    <w:rsid w:val="009372D5"/>
    <w:rsid w:val="009469D2"/>
    <w:rsid w:val="00973673"/>
    <w:rsid w:val="00975E3C"/>
    <w:rsid w:val="00985A8B"/>
    <w:rsid w:val="00993C2C"/>
    <w:rsid w:val="009B1A43"/>
    <w:rsid w:val="009C63DE"/>
    <w:rsid w:val="009E0B90"/>
    <w:rsid w:val="009E22B6"/>
    <w:rsid w:val="009E386F"/>
    <w:rsid w:val="009E79CB"/>
    <w:rsid w:val="00A0616A"/>
    <w:rsid w:val="00A153DB"/>
    <w:rsid w:val="00A200BB"/>
    <w:rsid w:val="00A2682F"/>
    <w:rsid w:val="00A42BCE"/>
    <w:rsid w:val="00A50BD4"/>
    <w:rsid w:val="00A529FE"/>
    <w:rsid w:val="00A54CB9"/>
    <w:rsid w:val="00A62888"/>
    <w:rsid w:val="00A93D4E"/>
    <w:rsid w:val="00AB0A29"/>
    <w:rsid w:val="00AB2C8D"/>
    <w:rsid w:val="00AC51F0"/>
    <w:rsid w:val="00AD5C9C"/>
    <w:rsid w:val="00AE0FCC"/>
    <w:rsid w:val="00AE7B5B"/>
    <w:rsid w:val="00AF658A"/>
    <w:rsid w:val="00B062BE"/>
    <w:rsid w:val="00B07684"/>
    <w:rsid w:val="00B10FCA"/>
    <w:rsid w:val="00B14705"/>
    <w:rsid w:val="00B2543E"/>
    <w:rsid w:val="00B34A37"/>
    <w:rsid w:val="00B36175"/>
    <w:rsid w:val="00B37796"/>
    <w:rsid w:val="00B8060E"/>
    <w:rsid w:val="00B85761"/>
    <w:rsid w:val="00B9261B"/>
    <w:rsid w:val="00BC7059"/>
    <w:rsid w:val="00BE0469"/>
    <w:rsid w:val="00BE19FB"/>
    <w:rsid w:val="00BF0A57"/>
    <w:rsid w:val="00BF3031"/>
    <w:rsid w:val="00C00DBE"/>
    <w:rsid w:val="00C02968"/>
    <w:rsid w:val="00C03E15"/>
    <w:rsid w:val="00C05555"/>
    <w:rsid w:val="00C0609D"/>
    <w:rsid w:val="00C3203A"/>
    <w:rsid w:val="00C55B97"/>
    <w:rsid w:val="00C56492"/>
    <w:rsid w:val="00C64A20"/>
    <w:rsid w:val="00C650E4"/>
    <w:rsid w:val="00C814F5"/>
    <w:rsid w:val="00C82861"/>
    <w:rsid w:val="00C82C56"/>
    <w:rsid w:val="00C832DB"/>
    <w:rsid w:val="00C86AE8"/>
    <w:rsid w:val="00CB0C0E"/>
    <w:rsid w:val="00CB1689"/>
    <w:rsid w:val="00CB1F35"/>
    <w:rsid w:val="00CC5276"/>
    <w:rsid w:val="00CE6C14"/>
    <w:rsid w:val="00CE6D9D"/>
    <w:rsid w:val="00D070FC"/>
    <w:rsid w:val="00D316C6"/>
    <w:rsid w:val="00D36460"/>
    <w:rsid w:val="00D4709A"/>
    <w:rsid w:val="00D47A32"/>
    <w:rsid w:val="00D55EB8"/>
    <w:rsid w:val="00D80E2F"/>
    <w:rsid w:val="00D81C64"/>
    <w:rsid w:val="00D878EE"/>
    <w:rsid w:val="00D9506A"/>
    <w:rsid w:val="00D97493"/>
    <w:rsid w:val="00D976A8"/>
    <w:rsid w:val="00DB4E8E"/>
    <w:rsid w:val="00DC1223"/>
    <w:rsid w:val="00E137BC"/>
    <w:rsid w:val="00E222B4"/>
    <w:rsid w:val="00E26738"/>
    <w:rsid w:val="00E32B9D"/>
    <w:rsid w:val="00E33FAF"/>
    <w:rsid w:val="00E47501"/>
    <w:rsid w:val="00E54E16"/>
    <w:rsid w:val="00E92F1B"/>
    <w:rsid w:val="00EA5242"/>
    <w:rsid w:val="00EB2E80"/>
    <w:rsid w:val="00EC06C9"/>
    <w:rsid w:val="00EC1A10"/>
    <w:rsid w:val="00ED21C4"/>
    <w:rsid w:val="00ED2643"/>
    <w:rsid w:val="00EF3A81"/>
    <w:rsid w:val="00EF727F"/>
    <w:rsid w:val="00F00F9F"/>
    <w:rsid w:val="00F035F7"/>
    <w:rsid w:val="00F16452"/>
    <w:rsid w:val="00F25283"/>
    <w:rsid w:val="00F433FF"/>
    <w:rsid w:val="00F5038B"/>
    <w:rsid w:val="00F530FD"/>
    <w:rsid w:val="00F93160"/>
    <w:rsid w:val="00F97231"/>
    <w:rsid w:val="00FA15B9"/>
    <w:rsid w:val="00FA1D92"/>
    <w:rsid w:val="00FA53BC"/>
    <w:rsid w:val="00FB4C80"/>
    <w:rsid w:val="00FC08C8"/>
    <w:rsid w:val="00FC197A"/>
    <w:rsid w:val="00FD2255"/>
    <w:rsid w:val="00FD2FE6"/>
    <w:rsid w:val="00FD65D5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F7C0"/>
  <w15:docId w15:val="{10767485-BFB8-4225-B5CE-71E3EC6C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265A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265A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56265A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Heading21">
    <w:name w:val="Heading #2"/>
    <w:basedOn w:val="Heading2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Headerorfooter">
    <w:name w:val="Header or footer_"/>
    <w:basedOn w:val="DefaultParagraphFont"/>
    <w:link w:val="Headerorfooter0"/>
    <w:rsid w:val="0056265A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5626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Heading3">
    <w:name w:val="Heading #3_"/>
    <w:basedOn w:val="DefaultParagraphFont"/>
    <w:link w:val="Heading30"/>
    <w:rsid w:val="0056265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1">
    <w:name w:val="Heading #3"/>
    <w:basedOn w:val="Heading3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">
    <w:name w:val="Body text_"/>
    <w:basedOn w:val="DefaultParagraphFont"/>
    <w:link w:val="BodyText7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Bold0">
    <w:name w:val="Body text + Bold"/>
    <w:basedOn w:val="Bodytext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">
    <w:name w:val="Body Text1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2">
    <w:name w:val="Table caption (2)_"/>
    <w:basedOn w:val="DefaultParagraphFont"/>
    <w:link w:val="Tablecaption20"/>
    <w:rsid w:val="0056265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21">
    <w:name w:val="Table caption (2)"/>
    <w:basedOn w:val="Tablecaption2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2">
    <w:name w:val="Body text (2)_"/>
    <w:basedOn w:val="DefaultParagraphFont"/>
    <w:link w:val="Bodytext20"/>
    <w:rsid w:val="0056265A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">
    <w:name w:val="Body text (2)"/>
    <w:basedOn w:val="Bodytext2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BodyText22">
    <w:name w:val="Body Text2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3">
    <w:name w:val="Body Text3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05pt">
    <w:name w:val="Body text + 10.5 pt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CourierNew">
    <w:name w:val="Body text + Courier New"/>
    <w:basedOn w:val="Bodytext"/>
    <w:rsid w:val="0056265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0pt">
    <w:name w:val="Body text + 10 pt"/>
    <w:aliases w:val="Bold"/>
    <w:basedOn w:val="Bodytext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30">
    <w:name w:val="Body text (3)_"/>
    <w:basedOn w:val="DefaultParagraphFont"/>
    <w:link w:val="Bodytext31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4">
    <w:name w:val="Body Text4"/>
    <w:basedOn w:val="DefaultParagraphFon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">
    <w:name w:val="Table caption_"/>
    <w:basedOn w:val="DefaultParagraphFont"/>
    <w:link w:val="Tablecaption0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5">
    <w:name w:val="Body Text5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ing1">
    <w:name w:val="Heading #1_"/>
    <w:basedOn w:val="DefaultParagraphFont"/>
    <w:link w:val="Heading10"/>
    <w:rsid w:val="0056265A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6">
    <w:name w:val="Body Text6"/>
    <w:basedOn w:val="Bodytext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2NotBold">
    <w:name w:val="Body text (2) + Not Bold"/>
    <w:basedOn w:val="Bodytext2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40">
    <w:name w:val="Body text (4)_"/>
    <w:basedOn w:val="DefaultParagraphFont"/>
    <w:link w:val="Bodytext41"/>
    <w:rsid w:val="0056265A"/>
    <w:rPr>
      <w:rFonts w:ascii="David" w:eastAsia="David" w:hAnsi="David" w:cs="David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4pt">
    <w:name w:val="Body text (4) + 4 pt"/>
    <w:basedOn w:val="Bodytext40"/>
    <w:rsid w:val="0056265A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56265A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ofcontentsBold">
    <w:name w:val="Table of contents + Bold"/>
    <w:basedOn w:val="Tableofcontents"/>
    <w:rsid w:val="0056265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50">
    <w:name w:val="Body text (5)_"/>
    <w:basedOn w:val="DefaultParagraphFont"/>
    <w:link w:val="Bodytext51"/>
    <w:rsid w:val="0056265A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_"/>
    <w:basedOn w:val="DefaultParagraphFont"/>
    <w:link w:val="Bodytext61"/>
    <w:rsid w:val="0056265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Bold">
    <w:name w:val="Body text (6) + Bold"/>
    <w:basedOn w:val="Bodytext60"/>
    <w:rsid w:val="0056265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Heading20">
    <w:name w:val="Heading #2"/>
    <w:basedOn w:val="Normal"/>
    <w:link w:val="Heading2"/>
    <w:rsid w:val="0056265A"/>
    <w:pPr>
      <w:shd w:val="clear" w:color="auto" w:fill="FFFFFF"/>
      <w:spacing w:line="739" w:lineRule="exact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customStyle="1" w:styleId="Headerorfooter0">
    <w:name w:val="Header or footer"/>
    <w:basedOn w:val="Normal"/>
    <w:link w:val="Headerorfooter"/>
    <w:rsid w:val="0056265A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Heading30">
    <w:name w:val="Heading #3"/>
    <w:basedOn w:val="Normal"/>
    <w:link w:val="Heading3"/>
    <w:rsid w:val="0056265A"/>
    <w:pPr>
      <w:shd w:val="clear" w:color="auto" w:fill="FFFFFF"/>
      <w:spacing w:line="0" w:lineRule="atLeast"/>
      <w:ind w:hanging="360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7">
    <w:name w:val="Body Text7"/>
    <w:basedOn w:val="Normal"/>
    <w:link w:val="Bodytext"/>
    <w:rsid w:val="0056265A"/>
    <w:pPr>
      <w:shd w:val="clear" w:color="auto" w:fill="FFFFFF"/>
      <w:spacing w:line="274" w:lineRule="exact"/>
      <w:ind w:hanging="1620"/>
      <w:jc w:val="both"/>
    </w:pPr>
    <w:rPr>
      <w:rFonts w:ascii="Arial" w:eastAsia="Arial" w:hAnsi="Arial" w:cs="Arial"/>
      <w:sz w:val="23"/>
      <w:szCs w:val="23"/>
    </w:rPr>
  </w:style>
  <w:style w:type="paragraph" w:customStyle="1" w:styleId="Tablecaption20">
    <w:name w:val="Table caption (2)"/>
    <w:basedOn w:val="Normal"/>
    <w:link w:val="Tablecaption2"/>
    <w:rsid w:val="0056265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20">
    <w:name w:val="Body text (2)"/>
    <w:basedOn w:val="Normal"/>
    <w:link w:val="Bodytext2"/>
    <w:rsid w:val="0056265A"/>
    <w:pPr>
      <w:shd w:val="clear" w:color="auto" w:fill="FFFFFF"/>
      <w:spacing w:line="0" w:lineRule="atLeast"/>
      <w:ind w:hanging="720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31">
    <w:name w:val="Body text (3)"/>
    <w:basedOn w:val="Normal"/>
    <w:link w:val="Bodytext30"/>
    <w:rsid w:val="0056265A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Tablecaption0">
    <w:name w:val="Table caption"/>
    <w:basedOn w:val="Normal"/>
    <w:link w:val="Tablecaption"/>
    <w:rsid w:val="0056265A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Heading10">
    <w:name w:val="Heading #1"/>
    <w:basedOn w:val="Normal"/>
    <w:link w:val="Heading1"/>
    <w:rsid w:val="0056265A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41">
    <w:name w:val="Body text (4)"/>
    <w:basedOn w:val="Normal"/>
    <w:link w:val="Bodytext40"/>
    <w:rsid w:val="0056265A"/>
    <w:pPr>
      <w:shd w:val="clear" w:color="auto" w:fill="FFFFFF"/>
      <w:spacing w:line="0" w:lineRule="atLeast"/>
      <w:jc w:val="right"/>
    </w:pPr>
    <w:rPr>
      <w:rFonts w:ascii="David" w:eastAsia="David" w:hAnsi="David" w:cs="David"/>
      <w:sz w:val="9"/>
      <w:szCs w:val="9"/>
    </w:rPr>
  </w:style>
  <w:style w:type="paragraph" w:customStyle="1" w:styleId="Tableofcontents0">
    <w:name w:val="Table of contents"/>
    <w:basedOn w:val="Normal"/>
    <w:link w:val="Tableofcontents"/>
    <w:rsid w:val="0056265A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3"/>
      <w:szCs w:val="23"/>
    </w:rPr>
  </w:style>
  <w:style w:type="paragraph" w:customStyle="1" w:styleId="Bodytext51">
    <w:name w:val="Body text (5)"/>
    <w:basedOn w:val="Normal"/>
    <w:link w:val="Bodytext50"/>
    <w:rsid w:val="0056265A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Bodytext61">
    <w:name w:val="Body text (6)"/>
    <w:basedOn w:val="Normal"/>
    <w:link w:val="Bodytext60"/>
    <w:rsid w:val="0056265A"/>
    <w:pPr>
      <w:shd w:val="clear" w:color="auto" w:fill="FFFFFF"/>
      <w:spacing w:line="427" w:lineRule="exact"/>
      <w:ind w:hanging="360"/>
      <w:jc w:val="both"/>
    </w:pPr>
    <w:rPr>
      <w:rFonts w:ascii="Book Antiqua" w:eastAsia="Book Antiqua" w:hAnsi="Book Antiqua" w:cs="Book Antiqu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26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3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6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38"/>
    <w:rPr>
      <w:color w:val="000000"/>
    </w:rPr>
  </w:style>
  <w:style w:type="table" w:styleId="TableGrid">
    <w:name w:val="Table Grid"/>
    <w:basedOn w:val="TableNormal"/>
    <w:uiPriority w:val="59"/>
    <w:rsid w:val="008B4606"/>
    <w:pPr>
      <w:widowControl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05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6460"/>
    <w:rPr>
      <w:color w:val="808080"/>
    </w:rPr>
  </w:style>
  <w:style w:type="paragraph" w:styleId="ListParagraph">
    <w:name w:val="List Paragraph"/>
    <w:basedOn w:val="Normal"/>
    <w:uiPriority w:val="34"/>
    <w:qFormat/>
    <w:rsid w:val="008F4F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76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3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42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8065-7414-42E0-B24E-704756F3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is charged on income in India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is charged on income in India</dc:title>
  <dc:creator>Commerce</dc:creator>
  <cp:lastModifiedBy>Multimedia DEI</cp:lastModifiedBy>
  <cp:revision>16</cp:revision>
  <cp:lastPrinted>2018-07-05T10:48:00Z</cp:lastPrinted>
  <dcterms:created xsi:type="dcterms:W3CDTF">2025-05-27T03:18:00Z</dcterms:created>
  <dcterms:modified xsi:type="dcterms:W3CDTF">2025-06-17T06:02:00Z</dcterms:modified>
</cp:coreProperties>
</file>